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2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B154FE">
        <w:trPr>
          <w:tblCellSpacing w:w="60" w:type="dxa"/>
        </w:trPr>
        <w:tc>
          <w:tcPr>
            <w:tcW w:w="1200" w:type="pct"/>
            <w:shd w:val="clear" w:color="auto" w:fill="E7F0F9"/>
          </w:tcPr>
          <w:p w:rsidR="00B154FE" w:rsidRDefault="00BF0F88">
            <w:pPr>
              <w:spacing w:after="0" w:line="240" w:lineRule="auto"/>
            </w:pPr>
            <w:r>
              <w:rPr>
                <w:b/>
              </w:rPr>
              <w:t>RKP broj</w:t>
            </w:r>
          </w:p>
        </w:tc>
        <w:tc>
          <w:tcPr>
            <w:tcW w:w="0" w:type="auto"/>
            <w:shd w:val="clear" w:color="auto" w:fill="E7F0F9"/>
          </w:tcPr>
          <w:p w:rsidR="00B154FE" w:rsidRDefault="00BF0F88">
            <w:pPr>
              <w:spacing w:after="0" w:line="240" w:lineRule="auto"/>
            </w:pPr>
            <w:r>
              <w:t>31585</w:t>
            </w:r>
          </w:p>
        </w:tc>
      </w:tr>
      <w:tr w:rsidR="00B154FE">
        <w:trPr>
          <w:tblCellSpacing w:w="60" w:type="dxa"/>
        </w:trPr>
        <w:tc>
          <w:tcPr>
            <w:tcW w:w="1200" w:type="pct"/>
            <w:shd w:val="clear" w:color="auto" w:fill="E7F0F9"/>
          </w:tcPr>
          <w:p w:rsidR="00B154FE" w:rsidRDefault="00BF0F88">
            <w:pPr>
              <w:spacing w:after="0" w:line="240" w:lineRule="auto"/>
            </w:pPr>
            <w:r>
              <w:rPr>
                <w:b/>
              </w:rPr>
              <w:t>Naziv obveznika</w:t>
            </w:r>
          </w:p>
        </w:tc>
        <w:tc>
          <w:tcPr>
            <w:tcW w:w="0" w:type="auto"/>
            <w:shd w:val="clear" w:color="auto" w:fill="E7F0F9"/>
          </w:tcPr>
          <w:p w:rsidR="00B154FE" w:rsidRDefault="00BF0F88">
            <w:pPr>
              <w:spacing w:after="0" w:line="240" w:lineRule="auto"/>
            </w:pPr>
            <w:r>
              <w:t>GRAD LUDBREG</w:t>
            </w:r>
          </w:p>
        </w:tc>
      </w:tr>
      <w:tr w:rsidR="00B154FE">
        <w:trPr>
          <w:tblCellSpacing w:w="60" w:type="dxa"/>
        </w:trPr>
        <w:tc>
          <w:tcPr>
            <w:tcW w:w="1200" w:type="pct"/>
            <w:shd w:val="clear" w:color="auto" w:fill="E7F0F9"/>
          </w:tcPr>
          <w:p w:rsidR="00B154FE" w:rsidRDefault="00BF0F88">
            <w:pPr>
              <w:spacing w:after="0" w:line="240" w:lineRule="auto"/>
            </w:pPr>
            <w:r>
              <w:rPr>
                <w:b/>
              </w:rPr>
              <w:t>Razina</w:t>
            </w:r>
          </w:p>
        </w:tc>
        <w:tc>
          <w:tcPr>
            <w:tcW w:w="0" w:type="auto"/>
            <w:shd w:val="clear" w:color="auto" w:fill="E7F0F9"/>
          </w:tcPr>
          <w:p w:rsidR="00B154FE" w:rsidRDefault="00BF0F88">
            <w:pPr>
              <w:spacing w:after="0" w:line="240" w:lineRule="auto"/>
            </w:pPr>
            <w:r>
              <w:t>23</w:t>
            </w:r>
          </w:p>
        </w:tc>
      </w:tr>
    </w:tbl>
    <w:p w:rsidR="00B154FE" w:rsidRDefault="00BF0F88">
      <w:r>
        <w:br/>
      </w:r>
    </w:p>
    <w:p w:rsidR="00B154FE" w:rsidRDefault="00BF0F88">
      <w:pPr>
        <w:spacing w:line="240" w:lineRule="auto"/>
        <w:jc w:val="center"/>
      </w:pPr>
      <w:r>
        <w:rPr>
          <w:b/>
          <w:sz w:val="28"/>
        </w:rPr>
        <w:t>BILJEŠKE UZ FINANCIJSKE IZVJEŠTAJE</w:t>
      </w:r>
    </w:p>
    <w:p w:rsidR="00B154FE" w:rsidRDefault="00BF0F88">
      <w:pPr>
        <w:spacing w:line="240" w:lineRule="auto"/>
        <w:jc w:val="center"/>
      </w:pPr>
      <w:r>
        <w:rPr>
          <w:b/>
          <w:sz w:val="28"/>
        </w:rPr>
        <w:t>ZA RAZDOBLJE</w:t>
      </w:r>
    </w:p>
    <w:p w:rsidR="00B154FE" w:rsidRDefault="00BF0F88">
      <w:pPr>
        <w:spacing w:line="240" w:lineRule="auto"/>
        <w:jc w:val="center"/>
      </w:pPr>
      <w:r>
        <w:rPr>
          <w:b/>
          <w:sz w:val="28"/>
        </w:rPr>
        <w:t>I - XII 2025.</w:t>
      </w:r>
    </w:p>
    <w:p w:rsidR="00B154FE" w:rsidRDefault="00B154FE"/>
    <w:p w:rsidR="00B154FE" w:rsidRDefault="00BF0F88">
      <w:pPr>
        <w:keepNext/>
        <w:spacing w:line="240" w:lineRule="auto"/>
        <w:jc w:val="center"/>
      </w:pPr>
      <w:r>
        <w:rPr>
          <w:b/>
          <w:sz w:val="28"/>
        </w:rPr>
        <w:t>Izvještaj o prihodima i rashodima, primicima i izdacima</w:t>
      </w:r>
    </w:p>
    <w:p w:rsidR="00B154FE" w:rsidRDefault="00BF0F88">
      <w:pPr>
        <w:keepNext/>
        <w:spacing w:line="240" w:lineRule="auto"/>
        <w:jc w:val="center"/>
      </w:pPr>
      <w:r>
        <w:rPr>
          <w:sz w:val="28"/>
        </w:rPr>
        <w:t>Bilješka 1.</w:t>
      </w:r>
    </w:p>
    <w:tbl>
      <w:tblPr>
        <w:tblW w:w="0" w:type="auto"/>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154FE">
        <w:trPr>
          <w:cantSplit/>
        </w:trPr>
        <w:tc>
          <w:tcPr>
            <w:tcW w:w="700" w:type="dxa"/>
            <w:shd w:val="clear" w:color="auto" w:fill="E7F0F9"/>
            <w:tcMar>
              <w:top w:w="0" w:type="dxa"/>
              <w:bottom w:w="0" w:type="dxa"/>
            </w:tcMar>
            <w:vAlign w:val="center"/>
          </w:tcPr>
          <w:p w:rsidR="00B154FE" w:rsidRDefault="00BF0F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154FE" w:rsidRDefault="00BF0F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154FE" w:rsidRDefault="00BF0F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154FE" w:rsidRDefault="00BF0F8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154FE" w:rsidRDefault="00BF0F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154FE" w:rsidRDefault="00BF0F88">
            <w:pPr>
              <w:keepNext/>
              <w:keepLines/>
              <w:spacing w:after="0" w:line="240" w:lineRule="auto"/>
              <w:jc w:val="center"/>
            </w:pPr>
            <w:r>
              <w:rPr>
                <w:b/>
                <w:sz w:val="18"/>
              </w:rPr>
              <w:t>Indeks (%)</w:t>
            </w:r>
          </w:p>
        </w:tc>
      </w:tr>
      <w:tr w:rsidR="00B154FE">
        <w:trPr>
          <w:cantSplit/>
          <w:trHeight w:val="560"/>
        </w:trPr>
        <w:tc>
          <w:tcPr>
            <w:tcW w:w="700" w:type="dxa"/>
            <w:tcMar>
              <w:top w:w="0" w:type="dxa"/>
              <w:bottom w:w="0" w:type="dxa"/>
            </w:tcMar>
            <w:vAlign w:val="center"/>
          </w:tcPr>
          <w:p w:rsidR="00B154FE" w:rsidRDefault="00BF0F88">
            <w:pPr>
              <w:keepNext/>
              <w:keepLines/>
              <w:spacing w:after="0" w:line="240" w:lineRule="auto"/>
            </w:pPr>
            <w:r>
              <w:rPr>
                <w:sz w:val="18"/>
              </w:rPr>
              <w:t>6</w:t>
            </w:r>
          </w:p>
        </w:tc>
        <w:tc>
          <w:tcPr>
            <w:tcW w:w="3180" w:type="dxa"/>
            <w:tcMar>
              <w:top w:w="0" w:type="dxa"/>
              <w:bottom w:w="0" w:type="dxa"/>
            </w:tcMar>
            <w:vAlign w:val="center"/>
          </w:tcPr>
          <w:p w:rsidR="00B154FE" w:rsidRDefault="00BF0F88">
            <w:pPr>
              <w:keepNext/>
              <w:keepLines/>
              <w:spacing w:after="0" w:line="240" w:lineRule="auto"/>
            </w:pPr>
            <w:r>
              <w:rPr>
                <w:sz w:val="18"/>
              </w:rPr>
              <w:t>PRIHODI POSLOVANJA (šifre 61+62+63+64+65+66+67+68)</w:t>
            </w:r>
          </w:p>
        </w:tc>
        <w:tc>
          <w:tcPr>
            <w:tcW w:w="700" w:type="dxa"/>
            <w:tcMar>
              <w:top w:w="0" w:type="dxa"/>
              <w:bottom w:w="0" w:type="dxa"/>
            </w:tcMar>
            <w:vAlign w:val="center"/>
          </w:tcPr>
          <w:p w:rsidR="00B154FE" w:rsidRDefault="00BF0F88">
            <w:pPr>
              <w:keepNext/>
              <w:keepLines/>
              <w:spacing w:after="0" w:line="240" w:lineRule="auto"/>
            </w:pPr>
            <w:r>
              <w:rPr>
                <w:sz w:val="18"/>
              </w:rPr>
              <w:t>6</w:t>
            </w:r>
          </w:p>
        </w:tc>
        <w:tc>
          <w:tcPr>
            <w:tcW w:w="1860" w:type="dxa"/>
            <w:tcMar>
              <w:top w:w="0" w:type="dxa"/>
              <w:bottom w:w="0" w:type="dxa"/>
            </w:tcMar>
            <w:vAlign w:val="center"/>
          </w:tcPr>
          <w:p w:rsidR="00B154FE" w:rsidRDefault="00BF0F88">
            <w:pPr>
              <w:keepNext/>
              <w:keepLines/>
              <w:spacing w:after="0" w:line="240" w:lineRule="auto"/>
              <w:jc w:val="right"/>
            </w:pPr>
            <w:r>
              <w:rPr>
                <w:sz w:val="18"/>
              </w:rPr>
              <w:t>9.340.412,92</w:t>
            </w:r>
          </w:p>
        </w:tc>
        <w:tc>
          <w:tcPr>
            <w:tcW w:w="1860" w:type="dxa"/>
            <w:tcMar>
              <w:top w:w="0" w:type="dxa"/>
              <w:bottom w:w="0" w:type="dxa"/>
            </w:tcMar>
            <w:vAlign w:val="center"/>
          </w:tcPr>
          <w:p w:rsidR="00B154FE" w:rsidRDefault="00BF0F88">
            <w:pPr>
              <w:keepNext/>
              <w:keepLines/>
              <w:spacing w:after="0" w:line="240" w:lineRule="auto"/>
              <w:jc w:val="right"/>
            </w:pPr>
            <w:r>
              <w:rPr>
                <w:sz w:val="18"/>
              </w:rPr>
              <w:t>8.867.444,55</w:t>
            </w:r>
          </w:p>
        </w:tc>
        <w:tc>
          <w:tcPr>
            <w:tcW w:w="700" w:type="dxa"/>
            <w:tcMar>
              <w:top w:w="0" w:type="dxa"/>
              <w:bottom w:w="0" w:type="dxa"/>
            </w:tcMar>
            <w:vAlign w:val="center"/>
          </w:tcPr>
          <w:p w:rsidR="00B154FE" w:rsidRDefault="00BF0F88">
            <w:pPr>
              <w:keepNext/>
              <w:keepLines/>
              <w:spacing w:after="0" w:line="240" w:lineRule="auto"/>
              <w:jc w:val="right"/>
            </w:pPr>
            <w:r>
              <w:rPr>
                <w:sz w:val="18"/>
              </w:rPr>
              <w:t>94,9</w:t>
            </w:r>
          </w:p>
        </w:tc>
      </w:tr>
      <w:tr w:rsidR="00B154FE">
        <w:trPr>
          <w:cantSplit/>
          <w:trHeight w:val="560"/>
        </w:trPr>
        <w:tc>
          <w:tcPr>
            <w:tcW w:w="700" w:type="dxa"/>
            <w:tcMar>
              <w:top w:w="0" w:type="dxa"/>
              <w:bottom w:w="0" w:type="dxa"/>
            </w:tcMar>
            <w:vAlign w:val="center"/>
          </w:tcPr>
          <w:p w:rsidR="00B154FE" w:rsidRDefault="00BF0F88">
            <w:pPr>
              <w:keepNext/>
              <w:keepLines/>
              <w:spacing w:after="0" w:line="240" w:lineRule="auto"/>
            </w:pPr>
            <w:r>
              <w:rPr>
                <w:sz w:val="18"/>
              </w:rPr>
              <w:t>3</w:t>
            </w:r>
          </w:p>
        </w:tc>
        <w:tc>
          <w:tcPr>
            <w:tcW w:w="3180" w:type="dxa"/>
            <w:tcMar>
              <w:top w:w="0" w:type="dxa"/>
              <w:bottom w:w="0" w:type="dxa"/>
            </w:tcMar>
            <w:vAlign w:val="center"/>
          </w:tcPr>
          <w:p w:rsidR="00B154FE" w:rsidRDefault="00BF0F88">
            <w:pPr>
              <w:keepNext/>
              <w:keepLines/>
              <w:spacing w:after="0" w:line="240" w:lineRule="auto"/>
            </w:pPr>
            <w:r>
              <w:rPr>
                <w:sz w:val="18"/>
              </w:rPr>
              <w:t>RASHODI POSLOVANJA (šifre 31+32+34+35+36+37+38)</w:t>
            </w:r>
          </w:p>
        </w:tc>
        <w:tc>
          <w:tcPr>
            <w:tcW w:w="700" w:type="dxa"/>
            <w:tcMar>
              <w:top w:w="0" w:type="dxa"/>
              <w:bottom w:w="0" w:type="dxa"/>
            </w:tcMar>
            <w:vAlign w:val="center"/>
          </w:tcPr>
          <w:p w:rsidR="00B154FE" w:rsidRDefault="00BF0F88">
            <w:pPr>
              <w:keepNext/>
              <w:keepLines/>
              <w:spacing w:after="0" w:line="240" w:lineRule="auto"/>
            </w:pPr>
            <w:r>
              <w:rPr>
                <w:sz w:val="18"/>
              </w:rPr>
              <w:t>3</w:t>
            </w:r>
          </w:p>
        </w:tc>
        <w:tc>
          <w:tcPr>
            <w:tcW w:w="1860" w:type="dxa"/>
            <w:tcMar>
              <w:top w:w="0" w:type="dxa"/>
              <w:bottom w:w="0" w:type="dxa"/>
            </w:tcMar>
            <w:vAlign w:val="center"/>
          </w:tcPr>
          <w:p w:rsidR="00B154FE" w:rsidRDefault="00BF0F88">
            <w:pPr>
              <w:keepNext/>
              <w:keepLines/>
              <w:spacing w:after="0" w:line="240" w:lineRule="auto"/>
              <w:jc w:val="right"/>
            </w:pPr>
            <w:r>
              <w:rPr>
                <w:sz w:val="18"/>
              </w:rPr>
              <w:t>7.165.583,99</w:t>
            </w:r>
          </w:p>
        </w:tc>
        <w:tc>
          <w:tcPr>
            <w:tcW w:w="1860" w:type="dxa"/>
            <w:tcMar>
              <w:top w:w="0" w:type="dxa"/>
              <w:bottom w:w="0" w:type="dxa"/>
            </w:tcMar>
            <w:vAlign w:val="center"/>
          </w:tcPr>
          <w:p w:rsidR="00B154FE" w:rsidRDefault="00BF0F88">
            <w:pPr>
              <w:keepNext/>
              <w:keepLines/>
              <w:spacing w:after="0" w:line="240" w:lineRule="auto"/>
              <w:jc w:val="right"/>
            </w:pPr>
            <w:r>
              <w:rPr>
                <w:sz w:val="18"/>
              </w:rPr>
              <w:t>7.681.613,50</w:t>
            </w:r>
          </w:p>
        </w:tc>
        <w:tc>
          <w:tcPr>
            <w:tcW w:w="700" w:type="dxa"/>
            <w:tcMar>
              <w:top w:w="0" w:type="dxa"/>
              <w:bottom w:w="0" w:type="dxa"/>
            </w:tcMar>
            <w:vAlign w:val="center"/>
          </w:tcPr>
          <w:p w:rsidR="00B154FE" w:rsidRDefault="00BF0F88">
            <w:pPr>
              <w:keepNext/>
              <w:keepLines/>
              <w:spacing w:after="0" w:line="240" w:lineRule="auto"/>
              <w:jc w:val="right"/>
            </w:pPr>
            <w:r>
              <w:rPr>
                <w:sz w:val="18"/>
              </w:rPr>
              <w:t>107,2</w:t>
            </w:r>
          </w:p>
        </w:tc>
      </w:tr>
      <w:tr w:rsidR="00B154FE">
        <w:trPr>
          <w:cantSplit/>
          <w:trHeight w:val="560"/>
        </w:trPr>
        <w:tc>
          <w:tcPr>
            <w:tcW w:w="700" w:type="dxa"/>
            <w:tcMar>
              <w:top w:w="0" w:type="dxa"/>
              <w:bottom w:w="0" w:type="dxa"/>
            </w:tcMar>
            <w:vAlign w:val="center"/>
          </w:tcPr>
          <w:p w:rsidR="00B154FE" w:rsidRDefault="00B154FE">
            <w:pPr>
              <w:keepNext/>
              <w:keepLines/>
              <w:spacing w:after="0" w:line="240" w:lineRule="auto"/>
            </w:pPr>
          </w:p>
        </w:tc>
        <w:tc>
          <w:tcPr>
            <w:tcW w:w="3180" w:type="dxa"/>
            <w:tcMar>
              <w:top w:w="0" w:type="dxa"/>
              <w:bottom w:w="0" w:type="dxa"/>
            </w:tcMar>
            <w:vAlign w:val="center"/>
          </w:tcPr>
          <w:p w:rsidR="00B154FE" w:rsidRDefault="00BF0F88">
            <w:pPr>
              <w:keepNext/>
              <w:keepLines/>
              <w:spacing w:after="0" w:line="240" w:lineRule="auto"/>
            </w:pPr>
            <w:r>
              <w:rPr>
                <w:b/>
                <w:sz w:val="18"/>
              </w:rPr>
              <w:t>VIŠAK PRIHODA POSLOVANJA (šifre 6-Z005)</w:t>
            </w:r>
          </w:p>
        </w:tc>
        <w:tc>
          <w:tcPr>
            <w:tcW w:w="700" w:type="dxa"/>
            <w:tcMar>
              <w:top w:w="0" w:type="dxa"/>
              <w:bottom w:w="0" w:type="dxa"/>
            </w:tcMar>
            <w:vAlign w:val="center"/>
          </w:tcPr>
          <w:p w:rsidR="00B154FE" w:rsidRDefault="00BF0F88">
            <w:pPr>
              <w:keepNext/>
              <w:keepLines/>
              <w:spacing w:after="0" w:line="240" w:lineRule="auto"/>
            </w:pPr>
            <w:r>
              <w:rPr>
                <w:b/>
                <w:sz w:val="18"/>
              </w:rPr>
              <w:t>X001</w:t>
            </w:r>
          </w:p>
        </w:tc>
        <w:tc>
          <w:tcPr>
            <w:tcW w:w="1860" w:type="dxa"/>
            <w:tcMar>
              <w:top w:w="0" w:type="dxa"/>
              <w:bottom w:w="0" w:type="dxa"/>
            </w:tcMar>
            <w:vAlign w:val="center"/>
          </w:tcPr>
          <w:p w:rsidR="00B154FE" w:rsidRDefault="00BF0F88">
            <w:pPr>
              <w:keepNext/>
              <w:keepLines/>
              <w:spacing w:after="0" w:line="240" w:lineRule="auto"/>
              <w:jc w:val="right"/>
            </w:pPr>
            <w:r>
              <w:rPr>
                <w:b/>
                <w:sz w:val="18"/>
              </w:rPr>
              <w:t>2.174.828,93</w:t>
            </w:r>
          </w:p>
        </w:tc>
        <w:tc>
          <w:tcPr>
            <w:tcW w:w="1860" w:type="dxa"/>
            <w:tcMar>
              <w:top w:w="0" w:type="dxa"/>
              <w:bottom w:w="0" w:type="dxa"/>
            </w:tcMar>
            <w:vAlign w:val="center"/>
          </w:tcPr>
          <w:p w:rsidR="00B154FE" w:rsidRDefault="00BF0F88">
            <w:pPr>
              <w:keepNext/>
              <w:keepLines/>
              <w:spacing w:after="0" w:line="240" w:lineRule="auto"/>
              <w:jc w:val="right"/>
            </w:pPr>
            <w:r>
              <w:rPr>
                <w:b/>
                <w:sz w:val="18"/>
              </w:rPr>
              <w:t>1.185.831,05</w:t>
            </w:r>
          </w:p>
        </w:tc>
        <w:tc>
          <w:tcPr>
            <w:tcW w:w="700" w:type="dxa"/>
            <w:tcMar>
              <w:top w:w="0" w:type="dxa"/>
              <w:bottom w:w="0" w:type="dxa"/>
            </w:tcMar>
            <w:vAlign w:val="center"/>
          </w:tcPr>
          <w:p w:rsidR="00B154FE" w:rsidRDefault="00BF0F88">
            <w:pPr>
              <w:keepNext/>
              <w:keepLines/>
              <w:spacing w:after="0" w:line="240" w:lineRule="auto"/>
              <w:jc w:val="right"/>
            </w:pPr>
            <w:r>
              <w:rPr>
                <w:b/>
                <w:sz w:val="18"/>
              </w:rPr>
              <w:t>54,5</w:t>
            </w:r>
          </w:p>
        </w:tc>
      </w:tr>
      <w:tr w:rsidR="00B154FE">
        <w:trPr>
          <w:cantSplit/>
          <w:trHeight w:val="560"/>
        </w:trPr>
        <w:tc>
          <w:tcPr>
            <w:tcW w:w="700" w:type="dxa"/>
            <w:tcMar>
              <w:top w:w="0" w:type="dxa"/>
              <w:bottom w:w="0" w:type="dxa"/>
            </w:tcMar>
            <w:vAlign w:val="center"/>
          </w:tcPr>
          <w:p w:rsidR="00B154FE" w:rsidRDefault="00BF0F88">
            <w:pPr>
              <w:keepNext/>
              <w:keepLines/>
              <w:spacing w:after="0" w:line="240" w:lineRule="auto"/>
            </w:pPr>
            <w:r>
              <w:rPr>
                <w:sz w:val="18"/>
              </w:rPr>
              <w:t>7</w:t>
            </w:r>
          </w:p>
        </w:tc>
        <w:tc>
          <w:tcPr>
            <w:tcW w:w="3180" w:type="dxa"/>
            <w:tcMar>
              <w:top w:w="0" w:type="dxa"/>
              <w:bottom w:w="0" w:type="dxa"/>
            </w:tcMar>
            <w:vAlign w:val="center"/>
          </w:tcPr>
          <w:p w:rsidR="00B154FE" w:rsidRDefault="00BF0F88">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B154FE" w:rsidRDefault="00BF0F88">
            <w:pPr>
              <w:keepNext/>
              <w:keepLines/>
              <w:spacing w:after="0" w:line="240" w:lineRule="auto"/>
            </w:pPr>
            <w:r>
              <w:rPr>
                <w:sz w:val="18"/>
              </w:rPr>
              <w:t>7</w:t>
            </w:r>
          </w:p>
        </w:tc>
        <w:tc>
          <w:tcPr>
            <w:tcW w:w="1860" w:type="dxa"/>
            <w:tcMar>
              <w:top w:w="0" w:type="dxa"/>
              <w:bottom w:w="0" w:type="dxa"/>
            </w:tcMar>
            <w:vAlign w:val="center"/>
          </w:tcPr>
          <w:p w:rsidR="00B154FE" w:rsidRDefault="00BF0F88">
            <w:pPr>
              <w:keepNext/>
              <w:keepLines/>
              <w:spacing w:after="0" w:line="240" w:lineRule="auto"/>
              <w:jc w:val="right"/>
            </w:pPr>
            <w:r>
              <w:rPr>
                <w:sz w:val="18"/>
              </w:rPr>
              <w:t>582.928,39</w:t>
            </w:r>
          </w:p>
        </w:tc>
        <w:tc>
          <w:tcPr>
            <w:tcW w:w="1860" w:type="dxa"/>
            <w:tcMar>
              <w:top w:w="0" w:type="dxa"/>
              <w:bottom w:w="0" w:type="dxa"/>
            </w:tcMar>
            <w:vAlign w:val="center"/>
          </w:tcPr>
          <w:p w:rsidR="00B154FE" w:rsidRDefault="00BF0F88">
            <w:pPr>
              <w:keepNext/>
              <w:keepLines/>
              <w:spacing w:after="0" w:line="240" w:lineRule="auto"/>
              <w:jc w:val="right"/>
            </w:pPr>
            <w:r>
              <w:rPr>
                <w:sz w:val="18"/>
              </w:rPr>
              <w:t>392.785,18</w:t>
            </w:r>
          </w:p>
        </w:tc>
        <w:tc>
          <w:tcPr>
            <w:tcW w:w="700" w:type="dxa"/>
            <w:tcMar>
              <w:top w:w="0" w:type="dxa"/>
              <w:bottom w:w="0" w:type="dxa"/>
            </w:tcMar>
            <w:vAlign w:val="center"/>
          </w:tcPr>
          <w:p w:rsidR="00B154FE" w:rsidRDefault="00BF0F88">
            <w:pPr>
              <w:keepNext/>
              <w:keepLines/>
              <w:spacing w:after="0" w:line="240" w:lineRule="auto"/>
              <w:jc w:val="right"/>
            </w:pPr>
            <w:r>
              <w:rPr>
                <w:sz w:val="18"/>
              </w:rPr>
              <w:t>67,4</w:t>
            </w:r>
          </w:p>
        </w:tc>
      </w:tr>
      <w:tr w:rsidR="00B154FE">
        <w:trPr>
          <w:cantSplit/>
          <w:trHeight w:val="560"/>
        </w:trPr>
        <w:tc>
          <w:tcPr>
            <w:tcW w:w="700" w:type="dxa"/>
            <w:tcMar>
              <w:top w:w="0" w:type="dxa"/>
              <w:bottom w:w="0" w:type="dxa"/>
            </w:tcMar>
            <w:vAlign w:val="center"/>
          </w:tcPr>
          <w:p w:rsidR="00B154FE" w:rsidRDefault="00BF0F88">
            <w:pPr>
              <w:keepNext/>
              <w:keepLines/>
              <w:spacing w:after="0" w:line="240" w:lineRule="auto"/>
            </w:pPr>
            <w:r>
              <w:rPr>
                <w:sz w:val="18"/>
              </w:rPr>
              <w:t>4</w:t>
            </w:r>
          </w:p>
        </w:tc>
        <w:tc>
          <w:tcPr>
            <w:tcW w:w="3180" w:type="dxa"/>
            <w:tcMar>
              <w:top w:w="0" w:type="dxa"/>
              <w:bottom w:w="0" w:type="dxa"/>
            </w:tcMar>
            <w:vAlign w:val="center"/>
          </w:tcPr>
          <w:p w:rsidR="00B154FE" w:rsidRDefault="00BF0F88">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B154FE" w:rsidRDefault="00BF0F88">
            <w:pPr>
              <w:keepNext/>
              <w:keepLines/>
              <w:spacing w:after="0" w:line="240" w:lineRule="auto"/>
            </w:pPr>
            <w:r>
              <w:rPr>
                <w:sz w:val="18"/>
              </w:rPr>
              <w:t>4</w:t>
            </w:r>
          </w:p>
        </w:tc>
        <w:tc>
          <w:tcPr>
            <w:tcW w:w="1860" w:type="dxa"/>
            <w:tcMar>
              <w:top w:w="0" w:type="dxa"/>
              <w:bottom w:w="0" w:type="dxa"/>
            </w:tcMar>
            <w:vAlign w:val="center"/>
          </w:tcPr>
          <w:p w:rsidR="00B154FE" w:rsidRDefault="00BF0F88">
            <w:pPr>
              <w:keepNext/>
              <w:keepLines/>
              <w:spacing w:after="0" w:line="240" w:lineRule="auto"/>
              <w:jc w:val="right"/>
            </w:pPr>
            <w:r>
              <w:rPr>
                <w:sz w:val="18"/>
              </w:rPr>
              <w:t>3.015.159,86</w:t>
            </w:r>
          </w:p>
        </w:tc>
        <w:tc>
          <w:tcPr>
            <w:tcW w:w="1860" w:type="dxa"/>
            <w:tcMar>
              <w:top w:w="0" w:type="dxa"/>
              <w:bottom w:w="0" w:type="dxa"/>
            </w:tcMar>
            <w:vAlign w:val="center"/>
          </w:tcPr>
          <w:p w:rsidR="00B154FE" w:rsidRDefault="00BF0F88">
            <w:pPr>
              <w:keepNext/>
              <w:keepLines/>
              <w:spacing w:after="0" w:line="240" w:lineRule="auto"/>
              <w:jc w:val="right"/>
            </w:pPr>
            <w:r>
              <w:rPr>
                <w:sz w:val="18"/>
              </w:rPr>
              <w:t>2.807.247,98</w:t>
            </w:r>
          </w:p>
        </w:tc>
        <w:tc>
          <w:tcPr>
            <w:tcW w:w="700" w:type="dxa"/>
            <w:tcMar>
              <w:top w:w="0" w:type="dxa"/>
              <w:bottom w:w="0" w:type="dxa"/>
            </w:tcMar>
            <w:vAlign w:val="center"/>
          </w:tcPr>
          <w:p w:rsidR="00B154FE" w:rsidRDefault="00BF0F88">
            <w:pPr>
              <w:keepNext/>
              <w:keepLines/>
              <w:spacing w:after="0" w:line="240" w:lineRule="auto"/>
              <w:jc w:val="right"/>
            </w:pPr>
            <w:r>
              <w:rPr>
                <w:sz w:val="18"/>
              </w:rPr>
              <w:t>93,1</w:t>
            </w:r>
          </w:p>
        </w:tc>
      </w:tr>
      <w:tr w:rsidR="00B154FE">
        <w:trPr>
          <w:cantSplit/>
          <w:trHeight w:val="560"/>
        </w:trPr>
        <w:tc>
          <w:tcPr>
            <w:tcW w:w="700" w:type="dxa"/>
            <w:tcMar>
              <w:top w:w="0" w:type="dxa"/>
              <w:bottom w:w="0" w:type="dxa"/>
            </w:tcMar>
            <w:vAlign w:val="center"/>
          </w:tcPr>
          <w:p w:rsidR="00B154FE" w:rsidRDefault="00B154FE">
            <w:pPr>
              <w:keepNext/>
              <w:keepLines/>
              <w:spacing w:after="0" w:line="240" w:lineRule="auto"/>
            </w:pPr>
          </w:p>
        </w:tc>
        <w:tc>
          <w:tcPr>
            <w:tcW w:w="3180" w:type="dxa"/>
            <w:tcMar>
              <w:top w:w="0" w:type="dxa"/>
              <w:bottom w:w="0" w:type="dxa"/>
            </w:tcMar>
            <w:vAlign w:val="center"/>
          </w:tcPr>
          <w:p w:rsidR="00B154FE" w:rsidRDefault="00BF0F88">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B154FE" w:rsidRDefault="00BF0F88">
            <w:pPr>
              <w:keepNext/>
              <w:keepLines/>
              <w:spacing w:after="0" w:line="240" w:lineRule="auto"/>
            </w:pPr>
            <w:r>
              <w:rPr>
                <w:b/>
                <w:sz w:val="18"/>
              </w:rPr>
              <w:t>Y002</w:t>
            </w:r>
          </w:p>
        </w:tc>
        <w:tc>
          <w:tcPr>
            <w:tcW w:w="1860" w:type="dxa"/>
            <w:tcMar>
              <w:top w:w="0" w:type="dxa"/>
              <w:bottom w:w="0" w:type="dxa"/>
            </w:tcMar>
            <w:vAlign w:val="center"/>
          </w:tcPr>
          <w:p w:rsidR="00B154FE" w:rsidRDefault="00BF0F88">
            <w:pPr>
              <w:keepNext/>
              <w:keepLines/>
              <w:spacing w:after="0" w:line="240" w:lineRule="auto"/>
              <w:jc w:val="right"/>
            </w:pPr>
            <w:r>
              <w:rPr>
                <w:b/>
                <w:sz w:val="18"/>
              </w:rPr>
              <w:t>2.432.231,47</w:t>
            </w:r>
          </w:p>
        </w:tc>
        <w:tc>
          <w:tcPr>
            <w:tcW w:w="1860" w:type="dxa"/>
            <w:tcMar>
              <w:top w:w="0" w:type="dxa"/>
              <w:bottom w:w="0" w:type="dxa"/>
            </w:tcMar>
            <w:vAlign w:val="center"/>
          </w:tcPr>
          <w:p w:rsidR="00B154FE" w:rsidRDefault="00BF0F88">
            <w:pPr>
              <w:keepNext/>
              <w:keepLines/>
              <w:spacing w:after="0" w:line="240" w:lineRule="auto"/>
              <w:jc w:val="right"/>
            </w:pPr>
            <w:r>
              <w:rPr>
                <w:b/>
                <w:sz w:val="18"/>
              </w:rPr>
              <w:t>2.414.462,80</w:t>
            </w:r>
          </w:p>
        </w:tc>
        <w:tc>
          <w:tcPr>
            <w:tcW w:w="700" w:type="dxa"/>
            <w:tcMar>
              <w:top w:w="0" w:type="dxa"/>
              <w:bottom w:w="0" w:type="dxa"/>
            </w:tcMar>
            <w:vAlign w:val="center"/>
          </w:tcPr>
          <w:p w:rsidR="00B154FE" w:rsidRDefault="00BF0F88">
            <w:pPr>
              <w:keepNext/>
              <w:keepLines/>
              <w:spacing w:after="0" w:line="240" w:lineRule="auto"/>
              <w:jc w:val="right"/>
            </w:pPr>
            <w:r>
              <w:rPr>
                <w:b/>
                <w:sz w:val="18"/>
              </w:rPr>
              <w:t>99,3</w:t>
            </w:r>
          </w:p>
        </w:tc>
      </w:tr>
      <w:tr w:rsidR="00B154FE">
        <w:trPr>
          <w:cantSplit/>
          <w:trHeight w:val="560"/>
        </w:trPr>
        <w:tc>
          <w:tcPr>
            <w:tcW w:w="700" w:type="dxa"/>
            <w:tcMar>
              <w:top w:w="0" w:type="dxa"/>
              <w:bottom w:w="0" w:type="dxa"/>
            </w:tcMar>
            <w:vAlign w:val="center"/>
          </w:tcPr>
          <w:p w:rsidR="00B154FE" w:rsidRDefault="00BF0F88">
            <w:pPr>
              <w:keepNext/>
              <w:keepLines/>
              <w:spacing w:after="0" w:line="240" w:lineRule="auto"/>
            </w:pPr>
            <w:r>
              <w:rPr>
                <w:sz w:val="18"/>
              </w:rPr>
              <w:t>8</w:t>
            </w:r>
          </w:p>
        </w:tc>
        <w:tc>
          <w:tcPr>
            <w:tcW w:w="3180" w:type="dxa"/>
            <w:tcMar>
              <w:top w:w="0" w:type="dxa"/>
              <w:bottom w:w="0" w:type="dxa"/>
            </w:tcMar>
            <w:vAlign w:val="center"/>
          </w:tcPr>
          <w:p w:rsidR="00B154FE" w:rsidRDefault="00BF0F88">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B154FE" w:rsidRDefault="00BF0F88">
            <w:pPr>
              <w:keepNext/>
              <w:keepLines/>
              <w:spacing w:after="0" w:line="240" w:lineRule="auto"/>
            </w:pPr>
            <w:r>
              <w:rPr>
                <w:sz w:val="18"/>
              </w:rPr>
              <w:t>8</w:t>
            </w:r>
          </w:p>
        </w:tc>
        <w:tc>
          <w:tcPr>
            <w:tcW w:w="1860" w:type="dxa"/>
            <w:tcMar>
              <w:top w:w="0" w:type="dxa"/>
              <w:bottom w:w="0" w:type="dxa"/>
            </w:tcMar>
            <w:vAlign w:val="center"/>
          </w:tcPr>
          <w:p w:rsidR="00B154FE" w:rsidRDefault="00BF0F88">
            <w:pPr>
              <w:keepNext/>
              <w:keepLines/>
              <w:spacing w:after="0" w:line="240" w:lineRule="auto"/>
              <w:jc w:val="right"/>
            </w:pPr>
            <w:r>
              <w:rPr>
                <w:sz w:val="18"/>
              </w:rPr>
              <w:t>877.639,45</w:t>
            </w:r>
          </w:p>
        </w:tc>
        <w:tc>
          <w:tcPr>
            <w:tcW w:w="1860" w:type="dxa"/>
            <w:tcMar>
              <w:top w:w="0" w:type="dxa"/>
              <w:bottom w:w="0" w:type="dxa"/>
            </w:tcMar>
            <w:vAlign w:val="center"/>
          </w:tcPr>
          <w:p w:rsidR="00B154FE" w:rsidRDefault="00BF0F88">
            <w:pPr>
              <w:keepNext/>
              <w:keepLines/>
              <w:spacing w:after="0" w:line="240" w:lineRule="auto"/>
              <w:jc w:val="right"/>
            </w:pPr>
            <w:r>
              <w:rPr>
                <w:sz w:val="18"/>
              </w:rPr>
              <w:t>1.451.397,30</w:t>
            </w:r>
          </w:p>
        </w:tc>
        <w:tc>
          <w:tcPr>
            <w:tcW w:w="700" w:type="dxa"/>
            <w:tcMar>
              <w:top w:w="0" w:type="dxa"/>
              <w:bottom w:w="0" w:type="dxa"/>
            </w:tcMar>
            <w:vAlign w:val="center"/>
          </w:tcPr>
          <w:p w:rsidR="00B154FE" w:rsidRDefault="00BF0F88">
            <w:pPr>
              <w:keepNext/>
              <w:keepLines/>
              <w:spacing w:after="0" w:line="240" w:lineRule="auto"/>
              <w:jc w:val="right"/>
            </w:pPr>
            <w:r>
              <w:rPr>
                <w:sz w:val="18"/>
              </w:rPr>
              <w:t>165,4</w:t>
            </w:r>
          </w:p>
        </w:tc>
      </w:tr>
      <w:tr w:rsidR="00B154FE">
        <w:trPr>
          <w:cantSplit/>
          <w:trHeight w:val="560"/>
        </w:trPr>
        <w:tc>
          <w:tcPr>
            <w:tcW w:w="700" w:type="dxa"/>
            <w:tcMar>
              <w:top w:w="0" w:type="dxa"/>
              <w:bottom w:w="0" w:type="dxa"/>
            </w:tcMar>
            <w:vAlign w:val="center"/>
          </w:tcPr>
          <w:p w:rsidR="00B154FE" w:rsidRDefault="00BF0F88">
            <w:pPr>
              <w:keepNext/>
              <w:keepLines/>
              <w:spacing w:after="0" w:line="240" w:lineRule="auto"/>
            </w:pPr>
            <w:r>
              <w:rPr>
                <w:sz w:val="18"/>
              </w:rPr>
              <w:t>5</w:t>
            </w:r>
          </w:p>
        </w:tc>
        <w:tc>
          <w:tcPr>
            <w:tcW w:w="3180" w:type="dxa"/>
            <w:tcMar>
              <w:top w:w="0" w:type="dxa"/>
              <w:bottom w:w="0" w:type="dxa"/>
            </w:tcMar>
            <w:vAlign w:val="center"/>
          </w:tcPr>
          <w:p w:rsidR="00B154FE" w:rsidRDefault="00BF0F88">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B154FE" w:rsidRDefault="00BF0F88">
            <w:pPr>
              <w:keepNext/>
              <w:keepLines/>
              <w:spacing w:after="0" w:line="240" w:lineRule="auto"/>
            </w:pPr>
            <w:r>
              <w:rPr>
                <w:sz w:val="18"/>
              </w:rPr>
              <w:t>5</w:t>
            </w:r>
          </w:p>
        </w:tc>
        <w:tc>
          <w:tcPr>
            <w:tcW w:w="1860" w:type="dxa"/>
            <w:tcMar>
              <w:top w:w="0" w:type="dxa"/>
              <w:bottom w:w="0" w:type="dxa"/>
            </w:tcMar>
            <w:vAlign w:val="center"/>
          </w:tcPr>
          <w:p w:rsidR="00B154FE" w:rsidRDefault="00BF0F88">
            <w:pPr>
              <w:keepNext/>
              <w:keepLines/>
              <w:spacing w:after="0" w:line="240" w:lineRule="auto"/>
              <w:jc w:val="right"/>
            </w:pPr>
            <w:r>
              <w:rPr>
                <w:sz w:val="18"/>
              </w:rPr>
              <w:t>817.326,44</w:t>
            </w:r>
          </w:p>
        </w:tc>
        <w:tc>
          <w:tcPr>
            <w:tcW w:w="1860" w:type="dxa"/>
            <w:tcMar>
              <w:top w:w="0" w:type="dxa"/>
              <w:bottom w:w="0" w:type="dxa"/>
            </w:tcMar>
            <w:vAlign w:val="center"/>
          </w:tcPr>
          <w:p w:rsidR="00B154FE" w:rsidRDefault="00BF0F88">
            <w:pPr>
              <w:keepNext/>
              <w:keepLines/>
              <w:spacing w:after="0" w:line="240" w:lineRule="auto"/>
              <w:jc w:val="right"/>
            </w:pPr>
            <w:r>
              <w:rPr>
                <w:sz w:val="18"/>
              </w:rPr>
              <w:t>964.085,65</w:t>
            </w:r>
          </w:p>
        </w:tc>
        <w:tc>
          <w:tcPr>
            <w:tcW w:w="700" w:type="dxa"/>
            <w:tcMar>
              <w:top w:w="0" w:type="dxa"/>
              <w:bottom w:w="0" w:type="dxa"/>
            </w:tcMar>
            <w:vAlign w:val="center"/>
          </w:tcPr>
          <w:p w:rsidR="00B154FE" w:rsidRDefault="00BF0F88">
            <w:pPr>
              <w:keepNext/>
              <w:keepLines/>
              <w:spacing w:after="0" w:line="240" w:lineRule="auto"/>
              <w:jc w:val="right"/>
            </w:pPr>
            <w:r>
              <w:rPr>
                <w:sz w:val="18"/>
              </w:rPr>
              <w:t>118,0</w:t>
            </w:r>
          </w:p>
        </w:tc>
      </w:tr>
      <w:tr w:rsidR="00B154FE">
        <w:trPr>
          <w:cantSplit/>
          <w:trHeight w:val="560"/>
        </w:trPr>
        <w:tc>
          <w:tcPr>
            <w:tcW w:w="700" w:type="dxa"/>
            <w:tcMar>
              <w:top w:w="0" w:type="dxa"/>
              <w:bottom w:w="0" w:type="dxa"/>
            </w:tcMar>
            <w:vAlign w:val="center"/>
          </w:tcPr>
          <w:p w:rsidR="00B154FE" w:rsidRDefault="00B154FE">
            <w:pPr>
              <w:keepNext/>
              <w:keepLines/>
              <w:spacing w:after="0" w:line="240" w:lineRule="auto"/>
            </w:pPr>
          </w:p>
        </w:tc>
        <w:tc>
          <w:tcPr>
            <w:tcW w:w="3180" w:type="dxa"/>
            <w:tcMar>
              <w:top w:w="0" w:type="dxa"/>
              <w:bottom w:w="0" w:type="dxa"/>
            </w:tcMar>
            <w:vAlign w:val="center"/>
          </w:tcPr>
          <w:p w:rsidR="00B154FE" w:rsidRDefault="00BF0F88">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rsidR="00B154FE" w:rsidRDefault="00BF0F88">
            <w:pPr>
              <w:keepNext/>
              <w:keepLines/>
              <w:spacing w:after="0" w:line="240" w:lineRule="auto"/>
            </w:pPr>
            <w:r>
              <w:rPr>
                <w:b/>
                <w:sz w:val="18"/>
              </w:rPr>
              <w:t>X003</w:t>
            </w:r>
          </w:p>
        </w:tc>
        <w:tc>
          <w:tcPr>
            <w:tcW w:w="1860" w:type="dxa"/>
            <w:tcMar>
              <w:top w:w="0" w:type="dxa"/>
              <w:bottom w:w="0" w:type="dxa"/>
            </w:tcMar>
            <w:vAlign w:val="center"/>
          </w:tcPr>
          <w:p w:rsidR="00B154FE" w:rsidRDefault="00BF0F88">
            <w:pPr>
              <w:keepNext/>
              <w:keepLines/>
              <w:spacing w:after="0" w:line="240" w:lineRule="auto"/>
              <w:jc w:val="right"/>
            </w:pPr>
            <w:r>
              <w:rPr>
                <w:b/>
                <w:sz w:val="18"/>
              </w:rPr>
              <w:t>60.313,01</w:t>
            </w:r>
          </w:p>
        </w:tc>
        <w:tc>
          <w:tcPr>
            <w:tcW w:w="1860" w:type="dxa"/>
            <w:tcMar>
              <w:top w:w="0" w:type="dxa"/>
              <w:bottom w:w="0" w:type="dxa"/>
            </w:tcMar>
            <w:vAlign w:val="center"/>
          </w:tcPr>
          <w:p w:rsidR="00B154FE" w:rsidRDefault="00BF0F88">
            <w:pPr>
              <w:keepNext/>
              <w:keepLines/>
              <w:spacing w:after="0" w:line="240" w:lineRule="auto"/>
              <w:jc w:val="right"/>
            </w:pPr>
            <w:r>
              <w:rPr>
                <w:b/>
                <w:sz w:val="18"/>
              </w:rPr>
              <w:t>487.311,65</w:t>
            </w:r>
          </w:p>
        </w:tc>
        <w:tc>
          <w:tcPr>
            <w:tcW w:w="700" w:type="dxa"/>
            <w:tcMar>
              <w:top w:w="0" w:type="dxa"/>
              <w:bottom w:w="0" w:type="dxa"/>
            </w:tcMar>
            <w:vAlign w:val="center"/>
          </w:tcPr>
          <w:p w:rsidR="00B154FE" w:rsidRDefault="00BF0F88">
            <w:pPr>
              <w:keepNext/>
              <w:keepLines/>
              <w:spacing w:after="0" w:line="240" w:lineRule="auto"/>
              <w:jc w:val="right"/>
            </w:pPr>
            <w:r>
              <w:rPr>
                <w:b/>
                <w:sz w:val="18"/>
              </w:rPr>
              <w:t>808,0</w:t>
            </w:r>
          </w:p>
        </w:tc>
      </w:tr>
      <w:tr w:rsidR="00B154FE">
        <w:trPr>
          <w:cantSplit/>
          <w:trHeight w:val="560"/>
        </w:trPr>
        <w:tc>
          <w:tcPr>
            <w:tcW w:w="700" w:type="dxa"/>
            <w:tcMar>
              <w:top w:w="0" w:type="dxa"/>
              <w:bottom w:w="0" w:type="dxa"/>
            </w:tcMar>
            <w:vAlign w:val="center"/>
          </w:tcPr>
          <w:p w:rsidR="00B154FE" w:rsidRDefault="00B154FE">
            <w:pPr>
              <w:keepNext/>
              <w:keepLines/>
              <w:spacing w:after="0" w:line="240" w:lineRule="auto"/>
            </w:pPr>
          </w:p>
        </w:tc>
        <w:tc>
          <w:tcPr>
            <w:tcW w:w="3180" w:type="dxa"/>
            <w:tcMar>
              <w:top w:w="0" w:type="dxa"/>
              <w:bottom w:w="0" w:type="dxa"/>
            </w:tcMar>
            <w:vAlign w:val="center"/>
          </w:tcPr>
          <w:p w:rsidR="00B154FE" w:rsidRDefault="00BF0F88">
            <w:pPr>
              <w:keepNext/>
              <w:keepLines/>
              <w:spacing w:after="0" w:line="240" w:lineRule="auto"/>
            </w:pPr>
            <w:r>
              <w:rPr>
                <w:b/>
                <w:sz w:val="18"/>
              </w:rPr>
              <w:t>MANJAK PRIHODA I PRIMITAKA (šifre Y345-X678)</w:t>
            </w:r>
          </w:p>
        </w:tc>
        <w:tc>
          <w:tcPr>
            <w:tcW w:w="700" w:type="dxa"/>
            <w:tcMar>
              <w:top w:w="0" w:type="dxa"/>
              <w:bottom w:w="0" w:type="dxa"/>
            </w:tcMar>
            <w:vAlign w:val="center"/>
          </w:tcPr>
          <w:p w:rsidR="00B154FE" w:rsidRDefault="00BF0F88">
            <w:pPr>
              <w:keepNext/>
              <w:keepLines/>
              <w:spacing w:after="0" w:line="240" w:lineRule="auto"/>
            </w:pPr>
            <w:r>
              <w:rPr>
                <w:b/>
                <w:sz w:val="18"/>
              </w:rPr>
              <w:t>Y005</w:t>
            </w:r>
          </w:p>
        </w:tc>
        <w:tc>
          <w:tcPr>
            <w:tcW w:w="1860" w:type="dxa"/>
            <w:tcMar>
              <w:top w:w="0" w:type="dxa"/>
              <w:bottom w:w="0" w:type="dxa"/>
            </w:tcMar>
            <w:vAlign w:val="center"/>
          </w:tcPr>
          <w:p w:rsidR="00B154FE" w:rsidRDefault="00BF0F88">
            <w:pPr>
              <w:keepNext/>
              <w:keepLines/>
              <w:spacing w:after="0" w:line="240" w:lineRule="auto"/>
              <w:jc w:val="right"/>
            </w:pPr>
            <w:r>
              <w:rPr>
                <w:b/>
                <w:sz w:val="18"/>
              </w:rPr>
              <w:t>197.089,53</w:t>
            </w:r>
          </w:p>
        </w:tc>
        <w:tc>
          <w:tcPr>
            <w:tcW w:w="1860" w:type="dxa"/>
            <w:tcMar>
              <w:top w:w="0" w:type="dxa"/>
              <w:bottom w:w="0" w:type="dxa"/>
            </w:tcMar>
            <w:vAlign w:val="center"/>
          </w:tcPr>
          <w:p w:rsidR="00B154FE" w:rsidRDefault="00BF0F88">
            <w:pPr>
              <w:keepNext/>
              <w:keepLines/>
              <w:spacing w:after="0" w:line="240" w:lineRule="auto"/>
              <w:jc w:val="right"/>
            </w:pPr>
            <w:r>
              <w:rPr>
                <w:b/>
                <w:sz w:val="18"/>
              </w:rPr>
              <w:t>741.320,10</w:t>
            </w:r>
          </w:p>
        </w:tc>
        <w:tc>
          <w:tcPr>
            <w:tcW w:w="700" w:type="dxa"/>
            <w:tcMar>
              <w:top w:w="0" w:type="dxa"/>
              <w:bottom w:w="0" w:type="dxa"/>
            </w:tcMar>
            <w:vAlign w:val="center"/>
          </w:tcPr>
          <w:p w:rsidR="00B154FE" w:rsidRDefault="00BF0F88">
            <w:pPr>
              <w:keepNext/>
              <w:keepLines/>
              <w:spacing w:after="0" w:line="240" w:lineRule="auto"/>
              <w:jc w:val="right"/>
            </w:pPr>
            <w:r>
              <w:rPr>
                <w:b/>
                <w:sz w:val="18"/>
              </w:rPr>
              <w:t>376,1</w:t>
            </w:r>
          </w:p>
        </w:tc>
      </w:tr>
    </w:tbl>
    <w:p w:rsidR="00B154FE" w:rsidRDefault="00B154FE">
      <w:pPr>
        <w:spacing w:after="0"/>
      </w:pPr>
    </w:p>
    <w:p w:rsidR="00B154FE" w:rsidRDefault="00BF0F88">
      <w:r>
        <w:t xml:space="preserve">Ukupni konsolidirani prihodi i primici Grada Ludbrega sa proračunskim korisnicima Dječjim vrtićem Radost Ludbreg,  Centrom za kulturu i informiranje Dragutin Novak Ludbreg, Gradskom knjižnicom i čitaonicom Mladen </w:t>
      </w:r>
      <w:proofErr w:type="spellStart"/>
      <w:r>
        <w:t>Kerstner</w:t>
      </w:r>
      <w:proofErr w:type="spellEnd"/>
      <w:r>
        <w:t xml:space="preserve"> Ludbreg i Regionalnim znanstvenim centrom za osnovnoškolski odgoj i obrazovanje u </w:t>
      </w:r>
      <w:proofErr w:type="spellStart"/>
      <w:r>
        <w:t>stem</w:t>
      </w:r>
      <w:proofErr w:type="spellEnd"/>
      <w:r>
        <w:t xml:space="preserve"> području- Lori, ostvareni u razdoblju od 1. siječnja od 31. prosinca 2025. godine iznosili su 10.711.627,03 €, odnosno 0,8 % ili </w:t>
      </w:r>
      <w:r>
        <w:lastRenderedPageBreak/>
        <w:t xml:space="preserve">89.353,73 € manje nego prethodne 2024. godine. Na rast prihoda poslovanja u promatranom razdoblju najvećim je dijelom utjecalo uvećanje prihoda od poreza na dohodak, prihoda od pomoći od inozemnih vlada, prihoda od pomoći proračunskim korisnicima iz proračuna koji im nije nadležan, prihoda od komunalnih doprinosa i naknada, prihoda od prodaje proizvoda i robe te pruženih usluga, prihoda od pomoći fiskalnog izravnanja te prihoda od kazni, upravnih mjera i ostalih prihodi dok kod proračunskih korisnika najveći rast prihoda bilježi Regionalni znanstveni centar za osnovnoškolski odgoj i obrazovanje u </w:t>
      </w:r>
      <w:proofErr w:type="spellStart"/>
      <w:r>
        <w:t>stem</w:t>
      </w:r>
      <w:proofErr w:type="spellEnd"/>
      <w:r>
        <w:t xml:space="preserve"> području- Lori koji bilježi porast prihoda iz županijskog te manjim dijelom državnog proračuna kao i povećanje vlastitih prihoda a kroz održavanje mnogobrojnih radionica za osnovnoškolsku djecu, nadalje Gradska knjižnica i čitaonica Mladen </w:t>
      </w:r>
      <w:proofErr w:type="spellStart"/>
      <w:r>
        <w:t>Kerstner</w:t>
      </w:r>
      <w:proofErr w:type="spellEnd"/>
      <w:r>
        <w:t xml:space="preserve"> Ludbreg bilježi rast prihoda iz nadležnog proračuna za financiranje redovne djelatnosti, dok su Županija i ministarstvo također povećali iznose za organiziranje </w:t>
      </w:r>
      <w:proofErr w:type="spellStart"/>
      <w:r>
        <w:t>knjižničinih</w:t>
      </w:r>
      <w:proofErr w:type="spellEnd"/>
      <w:r>
        <w:t xml:space="preserve"> programa i kupnju knjiga, Centar za kulturu i informiranje Dragutin Novak Ludbreg također je ostvario porast prihoda a vezanih uz povećanje prihoda iz nadležnog proračuna te najveće povećanje koje se odnosi na tekuće pomoći iz državnog, županijskog i općinskog proračuna a za organizaciju različitih programa koji se održavaju kroz godinu te prijavu na projekte. Dječji vrtić Radost Ludbreg bilježi rast prihoda a koji se odnose na povećanje prihoda iz nadležnog proračuna za financiranje redovne djelatnosti.</w:t>
      </w:r>
    </w:p>
    <w:p w:rsidR="00B154FE" w:rsidRDefault="00BF0F88">
      <w:r>
        <w:t xml:space="preserve"> Ukupni konsolidirani rashodi i izdaci su iznosili 11.452.947,13 € što je za 4,1% ili 454.876,84 € više rashoda nego prošle godine. Rashodi poslovanja su rasli, a na to su utjecali povećanje rashoda za plaće zaposlenika, povećanje rashoda za materijal i energiju, subvencije trgovačkim društvima, rashoda za ostale naknade građanima i kućanstvima i rashoda za tekuće donacije, dok su rashodi za nabavu nefinancijske imovine umanjeni za 6,9%. Proračunski korisnici također bilježe rast rashoda najvećim dijelom povećanje rashoda za zaposlene, porast materijalnih rashoda, rashoda za usluge kao i rashoda za bankarske usluge a sve </w:t>
      </w:r>
      <w:proofErr w:type="spellStart"/>
      <w:r>
        <w:t>rezultirano</w:t>
      </w:r>
      <w:proofErr w:type="spellEnd"/>
      <w:r>
        <w:t xml:space="preserve"> sveopćom ekonomskom situacijom.</w:t>
      </w:r>
    </w:p>
    <w:p w:rsidR="00B154FE" w:rsidRDefault="00BF0F88">
      <w:r>
        <w:t>Ostvareni je konsolidirani manjak prihoda u iznosu od 741.320,10 €. Manjak prihoda iz prethodnog razdoblja iznosi 74.028,57 €, tako da se u sljedeće razdoblje prenosi manjak u iznosu od 815.348,67 €.</w:t>
      </w:r>
    </w:p>
    <w:p w:rsidR="00B154FE" w:rsidRDefault="00BF0F88">
      <w:r>
        <w:t> </w:t>
      </w:r>
    </w:p>
    <w:p w:rsidR="00B154FE" w:rsidRDefault="00BF0F88">
      <w:r>
        <w:br/>
      </w:r>
    </w:p>
    <w:p w:rsidR="00B154FE" w:rsidRDefault="00BF0F88">
      <w:pPr>
        <w:keepNext/>
        <w:spacing w:line="240" w:lineRule="auto"/>
        <w:jc w:val="center"/>
      </w:pPr>
      <w:r>
        <w:rPr>
          <w:b/>
          <w:sz w:val="28"/>
        </w:rPr>
        <w:t>Izvještaj o obvezama</w:t>
      </w:r>
    </w:p>
    <w:p w:rsidR="00B154FE" w:rsidRDefault="00BF0F88">
      <w:pPr>
        <w:keepNext/>
        <w:spacing w:line="240" w:lineRule="auto"/>
        <w:jc w:val="center"/>
      </w:pPr>
      <w:r>
        <w:rPr>
          <w:sz w:val="28"/>
        </w:rPr>
        <w:t>Bilješka 2.</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154FE">
        <w:trPr>
          <w:cantSplit/>
        </w:trPr>
        <w:tc>
          <w:tcPr>
            <w:tcW w:w="700" w:type="dxa"/>
            <w:shd w:val="clear" w:color="auto" w:fill="E7F0F9"/>
            <w:tcMar>
              <w:top w:w="0" w:type="dxa"/>
              <w:bottom w:w="0" w:type="dxa"/>
            </w:tcMar>
            <w:vAlign w:val="center"/>
          </w:tcPr>
          <w:p w:rsidR="00B154FE" w:rsidRDefault="00BF0F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154FE" w:rsidRDefault="00BF0F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154FE" w:rsidRDefault="00BF0F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154FE" w:rsidRDefault="00BF0F8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B154FE" w:rsidRDefault="00BF0F88">
            <w:pPr>
              <w:keepNext/>
              <w:keepLines/>
              <w:spacing w:after="0" w:line="240" w:lineRule="auto"/>
              <w:jc w:val="center"/>
            </w:pPr>
            <w:r>
              <w:rPr>
                <w:b/>
                <w:sz w:val="18"/>
              </w:rPr>
              <w:t>Indeks (%)</w:t>
            </w:r>
          </w:p>
        </w:tc>
      </w:tr>
      <w:tr w:rsidR="00B154FE">
        <w:trPr>
          <w:cantSplit/>
          <w:trHeight w:val="560"/>
        </w:trPr>
        <w:tc>
          <w:tcPr>
            <w:tcW w:w="700" w:type="dxa"/>
            <w:tcMar>
              <w:top w:w="0" w:type="dxa"/>
              <w:bottom w:w="0" w:type="dxa"/>
            </w:tcMar>
            <w:vAlign w:val="center"/>
          </w:tcPr>
          <w:p w:rsidR="00B154FE" w:rsidRDefault="00B154FE">
            <w:pPr>
              <w:keepNext/>
              <w:keepLines/>
              <w:spacing w:after="0" w:line="240" w:lineRule="auto"/>
            </w:pPr>
          </w:p>
        </w:tc>
        <w:tc>
          <w:tcPr>
            <w:tcW w:w="3180" w:type="dxa"/>
            <w:tcMar>
              <w:top w:w="0" w:type="dxa"/>
              <w:bottom w:w="0" w:type="dxa"/>
            </w:tcMar>
            <w:vAlign w:val="center"/>
          </w:tcPr>
          <w:p w:rsidR="00B154FE" w:rsidRDefault="00BF0F88">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B154FE" w:rsidRDefault="00BF0F88">
            <w:pPr>
              <w:keepNext/>
              <w:keepLines/>
              <w:spacing w:after="0" w:line="240" w:lineRule="auto"/>
            </w:pPr>
            <w:r>
              <w:rPr>
                <w:sz w:val="18"/>
              </w:rPr>
              <w:t>V007</w:t>
            </w:r>
          </w:p>
        </w:tc>
        <w:tc>
          <w:tcPr>
            <w:tcW w:w="1860" w:type="dxa"/>
            <w:tcMar>
              <w:top w:w="0" w:type="dxa"/>
              <w:bottom w:w="0" w:type="dxa"/>
            </w:tcMar>
            <w:vAlign w:val="center"/>
          </w:tcPr>
          <w:p w:rsidR="00B154FE" w:rsidRDefault="00BF0F88">
            <w:pPr>
              <w:keepNext/>
              <w:keepLines/>
              <w:spacing w:after="0" w:line="240" w:lineRule="auto"/>
              <w:jc w:val="right"/>
            </w:pPr>
            <w:r>
              <w:rPr>
                <w:sz w:val="18"/>
              </w:rPr>
              <w:t>159.178,23</w:t>
            </w:r>
          </w:p>
        </w:tc>
        <w:tc>
          <w:tcPr>
            <w:tcW w:w="700" w:type="dxa"/>
            <w:tcMar>
              <w:top w:w="0" w:type="dxa"/>
              <w:bottom w:w="0" w:type="dxa"/>
            </w:tcMar>
            <w:vAlign w:val="center"/>
          </w:tcPr>
          <w:p w:rsidR="00B154FE" w:rsidRDefault="00BF0F88">
            <w:pPr>
              <w:keepNext/>
              <w:keepLines/>
              <w:spacing w:after="0" w:line="240" w:lineRule="auto"/>
              <w:jc w:val="right"/>
            </w:pPr>
            <w:r>
              <w:rPr>
                <w:sz w:val="18"/>
              </w:rPr>
              <w:t>-</w:t>
            </w:r>
          </w:p>
        </w:tc>
      </w:tr>
    </w:tbl>
    <w:p w:rsidR="00B154FE" w:rsidRDefault="00B154FE">
      <w:pPr>
        <w:spacing w:after="0"/>
      </w:pPr>
    </w:p>
    <w:p w:rsidR="00B154FE" w:rsidRDefault="00BF0F88">
      <w:r>
        <w:t xml:space="preserve">Povećanje obveza u izvještajnom razdoblju iznosi 10.093.646,34 €, a isto se sastoji od obveza za rashode poslovanja, obveza za nabavu nefinancijske imovine, obveza za financijsku </w:t>
      </w:r>
      <w:r>
        <w:lastRenderedPageBreak/>
        <w:t xml:space="preserve">imovinu te obveza za predujmove, depozite, </w:t>
      </w:r>
      <w:proofErr w:type="spellStart"/>
      <w:r>
        <w:t>jamčevne</w:t>
      </w:r>
      <w:proofErr w:type="spellEnd"/>
      <w:r>
        <w:t xml:space="preserve"> </w:t>
      </w:r>
      <w:proofErr w:type="spellStart"/>
      <w:r>
        <w:t>pologe</w:t>
      </w:r>
      <w:proofErr w:type="spellEnd"/>
      <w:r>
        <w:t xml:space="preserve"> i tuđe prihode dok je početno stanje 01.01.2025. godine 1.702.398,03 € što čini ukupno 11.796.044,37 € obveza. U izvještajnom razdoblju podmirene su obveze u ukupnom iznosu od 9.082.588,62 € te na kraju izvještajnog razdoblja tj. sa 31.12.2025. godine stanje obveza iznosi 2.713.455,75 €.  Dospjele obveze na kraju izvještajnog razdoblja su evidentirane u iznosu od 159.178,23 € - odnose na obveze Grada Ludbrega, proračunski korisnici nemaju dospjelih obveza, dok iznos nedospjelih obveza iznosi 2.554.277,52 € i to za obveze za rashode poslovanja, nabavu nefinancijske imovine, obveze za financijsku imovinu i obveze za predujmove, depozite, </w:t>
      </w:r>
      <w:proofErr w:type="spellStart"/>
      <w:r>
        <w:t>jamčevne</w:t>
      </w:r>
      <w:proofErr w:type="spellEnd"/>
      <w:r>
        <w:t xml:space="preserve"> </w:t>
      </w:r>
      <w:proofErr w:type="spellStart"/>
      <w:r>
        <w:t>pologe</w:t>
      </w:r>
      <w:proofErr w:type="spellEnd"/>
      <w:r>
        <w:t xml:space="preserve"> i tuđe prihode.</w:t>
      </w:r>
    </w:p>
    <w:p w:rsidR="00B154FE" w:rsidRDefault="00BF0F88">
      <w:r>
        <w:t> </w:t>
      </w:r>
    </w:p>
    <w:p w:rsidR="00B154FE" w:rsidRDefault="00B154FE"/>
    <w:p w:rsidR="00B154FE" w:rsidRDefault="00BF0F88">
      <w:pPr>
        <w:keepNext/>
        <w:spacing w:line="240" w:lineRule="auto"/>
        <w:jc w:val="center"/>
      </w:pPr>
      <w:r>
        <w:rPr>
          <w:sz w:val="28"/>
        </w:rPr>
        <w:t>Bilješka 3.</w:t>
      </w:r>
    </w:p>
    <w:p w:rsidR="00B154FE" w:rsidRDefault="00BF0F88">
      <w:pPr>
        <w:spacing w:line="240" w:lineRule="auto"/>
        <w:jc w:val="both"/>
      </w:pPr>
      <w:proofErr w:type="spellStart"/>
      <w:r>
        <w:rPr>
          <w:b/>
        </w:rPr>
        <w:t>Unutargrupne</w:t>
      </w:r>
      <w:proofErr w:type="spellEnd"/>
      <w:r>
        <w:rPr>
          <w:b/>
        </w:rPr>
        <w:t xml:space="preserve"> transakcije koje su u izvještajima eliminirane</w:t>
      </w:r>
    </w:p>
    <w:p w:rsidR="00B154FE" w:rsidRDefault="00BF0F88">
      <w:r>
        <w:t xml:space="preserve">Iz nadležnog proračuna Grada Ludbrega izvršene su </w:t>
      </w:r>
      <w:proofErr w:type="spellStart"/>
      <w:r>
        <w:t>unutargrupne</w:t>
      </w:r>
      <w:proofErr w:type="spellEnd"/>
      <w:r>
        <w:t xml:space="preserve"> transakcije i u ukupnom iznosu od 2.034.185,75 € što pojedinačno iznosi:</w:t>
      </w:r>
    </w:p>
    <w:p w:rsidR="00B154FE" w:rsidRDefault="00BF0F88">
      <w:r>
        <w:t>-          Dječji vrtić Radost Ludbreg – iznos od 1.090.077,44 € povećanje za 13,2% ili 127.394,47 € u odnosu na siječanj-prosinac 2024. godine</w:t>
      </w:r>
    </w:p>
    <w:p w:rsidR="00B154FE" w:rsidRDefault="00BF0F88">
      <w:r>
        <w:t xml:space="preserve">-          Centar za kulturu i informiranje Dragutin Novak Ludbreg, Gradskom knjižnicom i čitaonicom Mladen </w:t>
      </w:r>
      <w:proofErr w:type="spellStart"/>
      <w:r>
        <w:t>Kerstner</w:t>
      </w:r>
      <w:proofErr w:type="spellEnd"/>
      <w:r>
        <w:t xml:space="preserve"> Ludbreg – iznos od 708.414,58 € povećanje za 17,9% ili 107.308,73  € u odnosu na siječanj-prosinac 2024. godine</w:t>
      </w:r>
    </w:p>
    <w:p w:rsidR="00B154FE" w:rsidRDefault="00BF0F88">
      <w:r>
        <w:t xml:space="preserve">-          Regionalni znanstveni centar za osnovnoškolski odgoj i obrazovanje u </w:t>
      </w:r>
      <w:proofErr w:type="spellStart"/>
      <w:r>
        <w:t>stem</w:t>
      </w:r>
      <w:proofErr w:type="spellEnd"/>
      <w:r>
        <w:t xml:space="preserve"> području- Lori – iznos od 53.687,19 € smanjenje za 20,3 % ili 13.714,42 € u odnosu na siječanj-prosinac 2024. godine</w:t>
      </w:r>
    </w:p>
    <w:p w:rsidR="00B154FE" w:rsidRDefault="00BF0F88">
      <w:r>
        <w:t xml:space="preserve">-          Gradska knjižnica i čitaonica Mladen </w:t>
      </w:r>
      <w:proofErr w:type="spellStart"/>
      <w:r>
        <w:t>Kerstner</w:t>
      </w:r>
      <w:proofErr w:type="spellEnd"/>
      <w:r>
        <w:t xml:space="preserve"> Ludbreg- iznos od 182.006,54 € povećanje 19% ili 29.029,06 € u odnosu na siječanj-prosinac 2024. godine</w:t>
      </w:r>
    </w:p>
    <w:p w:rsidR="00B154FE" w:rsidRDefault="00B154FE"/>
    <w:p w:rsidR="00B154FE" w:rsidRDefault="00BF0F88">
      <w:pPr>
        <w:keepNext/>
        <w:spacing w:line="240" w:lineRule="auto"/>
        <w:jc w:val="center"/>
      </w:pPr>
      <w:r>
        <w:rPr>
          <w:sz w:val="28"/>
        </w:rPr>
        <w:t>Bilješka 4.</w:t>
      </w:r>
    </w:p>
    <w:p w:rsidR="00B154FE" w:rsidRDefault="00BF0F88">
      <w:pPr>
        <w:spacing w:line="240" w:lineRule="auto"/>
        <w:jc w:val="both"/>
      </w:pPr>
      <w:r>
        <w:rPr>
          <w:b/>
        </w:rPr>
        <w:t xml:space="preserve">Manjak ili višak u poslovanju grupe i pregled strukture manjka/viška po proračunskim korisnicima </w:t>
      </w:r>
    </w:p>
    <w:p w:rsidR="00B154FE" w:rsidRDefault="00BF0F88">
      <w:r>
        <w:t>Ukupno konsolidirani manjak prihoda i primitaka nad rashodima i izdacima na kraju izvještajnog razdoblja 31.12.2025. godine iznosi 741.320,10 € što sa prenesenim manjkom iz prethodnog razdoblja u iznosu od 74.028,57 € daje manjak za prijenos u naredno razdoblje u ukupnom iznosu od 815.348,67 €.</w:t>
      </w:r>
    </w:p>
    <w:p w:rsidR="00B154FE" w:rsidRDefault="00BF0F88">
      <w:r>
        <w:t>Rezultat proračuna i proračunskih korisnika na kraju izvještajnog razdoblja 31.12.2025. godine iznosi:</w:t>
      </w:r>
    </w:p>
    <w:p w:rsidR="00B154FE" w:rsidRDefault="00BF0F88">
      <w:r>
        <w:lastRenderedPageBreak/>
        <w:t>-          Dječji vrtić Radost Ludbreg – manjak prihoda i primitaka nad rashodima i izdacima sa prenesenim viškom za prijenos i pokriće u slijedećem razdoblju iznosi 96.580,67 €</w:t>
      </w:r>
    </w:p>
    <w:p w:rsidR="00B154FE" w:rsidRDefault="00BF0F88">
      <w:r>
        <w:t xml:space="preserve">-           Centar za kulturu i informiranje Dragutin Novak Ludbreg, Gradskom knjižnicom i čitaonicom Mladen </w:t>
      </w:r>
      <w:proofErr w:type="spellStart"/>
      <w:r>
        <w:t>Kerstner</w:t>
      </w:r>
      <w:proofErr w:type="spellEnd"/>
      <w:r>
        <w:t xml:space="preserve"> Ludbreg- manjak prihoda i primitaka nad rashodima i izdacima sa prenesenim viškom za prijenos i pokriće u slijedećem razdoblju iznosi 42.157,38 €</w:t>
      </w:r>
    </w:p>
    <w:p w:rsidR="00B154FE" w:rsidRDefault="00BF0F88">
      <w:r>
        <w:t xml:space="preserve">-          Regionalni znanstveni centar za osnovnoškolski odgoj i obrazovanje u </w:t>
      </w:r>
      <w:proofErr w:type="spellStart"/>
      <w:r>
        <w:t>stem</w:t>
      </w:r>
      <w:proofErr w:type="spellEnd"/>
      <w:r>
        <w:t xml:space="preserve"> području- Lori- manjak prihoda i primitaka nad rashodima i izdacima sa prenesenim viškom za prijenos i pokriće u slijedećem razdoblju iznosi 216,35 €</w:t>
      </w:r>
    </w:p>
    <w:p w:rsidR="00B154FE" w:rsidRDefault="00BF0F88">
      <w:r>
        <w:t xml:space="preserve">-          Gradska knjižnica i čitaonica Mladen </w:t>
      </w:r>
      <w:proofErr w:type="spellStart"/>
      <w:r>
        <w:t>Kerstner</w:t>
      </w:r>
      <w:proofErr w:type="spellEnd"/>
      <w:r>
        <w:t xml:space="preserve"> Ludbreg- manjak prihoda i primitaka nad rashodima i izdacima sa prenesenim viškom za prijenos i pokriće u slijedećem razdoblju iznosi 10.513,40 €</w:t>
      </w:r>
    </w:p>
    <w:p w:rsidR="00B154FE" w:rsidRDefault="00BF0F88">
      <w:r>
        <w:t>-          Grad Ludbreg - manjak prihoda i primitaka nad rashodima i izdacima sa prenesenim manjkom za prijenos i pokriće u slijedećem razdoblju iznosi 665.880,87 €</w:t>
      </w:r>
    </w:p>
    <w:p w:rsidR="00B154FE" w:rsidRDefault="00B154FE"/>
    <w:sectPr w:rsidR="00B154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FE"/>
    <w:rsid w:val="00742100"/>
    <w:rsid w:val="007C62DB"/>
    <w:rsid w:val="00B154FE"/>
    <w:rsid w:val="00BF0F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EF1B65-0F94-4C56-BCB6-0480747C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154F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1155</Words>
  <Characters>6588</Characters>
  <Application>Microsoft Office Word</Application>
  <DocSecurity>0</DocSecurity>
  <Lines>54</Lines>
  <Paragraphs>15</Paragraphs>
  <ScaleCrop>false</ScaleCrop>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Svjetlana</dc:creator>
  <cp:lastModifiedBy>Tajnica</cp:lastModifiedBy>
  <cp:revision>2</cp:revision>
  <cp:lastPrinted>2026-02-23T07:51:00Z</cp:lastPrinted>
  <dcterms:created xsi:type="dcterms:W3CDTF">2026-02-23T09:25:00Z</dcterms:created>
  <dcterms:modified xsi:type="dcterms:W3CDTF">2026-02-23T09:25:00Z</dcterms:modified>
</cp:coreProperties>
</file>